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CAB0" w14:textId="77777777" w:rsidR="00BA4A73" w:rsidRDefault="00267FEE">
      <w:r>
        <w:t xml:space="preserve">MICRO </w:t>
      </w:r>
      <w:proofErr w:type="gramStart"/>
      <w:r>
        <w:t>CASE  15</w:t>
      </w:r>
      <w:proofErr w:type="gramEnd"/>
      <w:r>
        <w:t xml:space="preserve"> ---</w:t>
      </w:r>
      <w:r w:rsidR="00EA5D6D">
        <w:t xml:space="preserve"> M. </w:t>
      </w:r>
      <w:proofErr w:type="spellStart"/>
      <w:r w:rsidR="00EA5D6D">
        <w:t>tb</w:t>
      </w:r>
      <w:proofErr w:type="spellEnd"/>
      <w:r w:rsidR="00EA5D6D">
        <w:t xml:space="preserve"> (post primary </w:t>
      </w:r>
      <w:proofErr w:type="spellStart"/>
      <w:r w:rsidR="00EA5D6D">
        <w:t>tb</w:t>
      </w:r>
      <w:proofErr w:type="spellEnd"/>
      <w:r w:rsidR="00EA5D6D">
        <w:t>)</w:t>
      </w:r>
    </w:p>
    <w:p w14:paraId="447597BB" w14:textId="77777777" w:rsidR="00EA5D6D" w:rsidRDefault="00EA5D6D">
      <w:r>
        <w:tab/>
      </w:r>
      <w:r>
        <w:tab/>
        <w:t xml:space="preserve">A 32 year old Hispanic woman presented with a </w:t>
      </w:r>
      <w:r w:rsidRPr="00DC3DD3">
        <w:rPr>
          <w:b/>
        </w:rPr>
        <w:t>cough</w:t>
      </w:r>
      <w:r>
        <w:t xml:space="preserve"> for several weeks and a 15-lb </w:t>
      </w:r>
      <w:r w:rsidRPr="00DC3DD3">
        <w:rPr>
          <w:b/>
        </w:rPr>
        <w:t>weight lo</w:t>
      </w:r>
      <w:r>
        <w:t xml:space="preserve">ss. She also had night sweats and subjective fevers and felt fatigued. Despite erythromycin treatment for suspected pneumonia, her fever and cough progressively got worse. She complained about </w:t>
      </w:r>
      <w:r w:rsidRPr="00DC3DD3">
        <w:rPr>
          <w:b/>
        </w:rPr>
        <w:t>coughing blood-tinged sputum.</w:t>
      </w:r>
      <w:r>
        <w:t xml:space="preserve"> </w:t>
      </w:r>
    </w:p>
    <w:p w14:paraId="6E4AB9F2" w14:textId="77777777" w:rsidR="00EA5D6D" w:rsidRDefault="00EA5D6D">
      <w:r>
        <w:tab/>
        <w:t xml:space="preserve">She had </w:t>
      </w:r>
      <w:r w:rsidRPr="00DC3DD3">
        <w:rPr>
          <w:b/>
        </w:rPr>
        <w:t xml:space="preserve">emigrated from Venezuela </w:t>
      </w:r>
      <w:r>
        <w:t xml:space="preserve">to the U.S. three years before her illness, but she frequently returned to Venezuela to visit relatives. </w:t>
      </w:r>
    </w:p>
    <w:p w14:paraId="43CC7106" w14:textId="77777777" w:rsidR="00EA5D6D" w:rsidRDefault="00EA5D6D"/>
    <w:p w14:paraId="1518D39E" w14:textId="77777777" w:rsidR="00EA5D6D" w:rsidRDefault="00D35654" w:rsidP="00EA5D6D">
      <w:pPr>
        <w:pStyle w:val="ListParagraph"/>
        <w:numPr>
          <w:ilvl w:val="0"/>
          <w:numId w:val="1"/>
        </w:numPr>
      </w:pPr>
      <w:r>
        <w:t>Physical Examination</w:t>
      </w:r>
    </w:p>
    <w:p w14:paraId="747AFF1B" w14:textId="77777777" w:rsidR="00DC3DD3" w:rsidRDefault="00D35654" w:rsidP="00DC3DD3">
      <w:pPr>
        <w:pStyle w:val="ListParagraph"/>
        <w:numPr>
          <w:ilvl w:val="1"/>
          <w:numId w:val="1"/>
        </w:numPr>
      </w:pPr>
      <w:r>
        <w:t xml:space="preserve">Bilateral </w:t>
      </w:r>
      <w:proofErr w:type="spellStart"/>
      <w:r>
        <w:t>rales</w:t>
      </w:r>
      <w:proofErr w:type="spellEnd"/>
      <w:r>
        <w:t xml:space="preserve"> and lymphadenopathy</w:t>
      </w:r>
      <w:bookmarkStart w:id="0" w:name="_GoBack"/>
      <w:bookmarkEnd w:id="0"/>
    </w:p>
    <w:p w14:paraId="2D999D2E" w14:textId="77777777" w:rsidR="00D35654" w:rsidRDefault="00D35654" w:rsidP="00D35654">
      <w:pPr>
        <w:pStyle w:val="ListParagraph"/>
        <w:numPr>
          <w:ilvl w:val="0"/>
          <w:numId w:val="1"/>
        </w:numPr>
      </w:pPr>
      <w:r>
        <w:t>Imaging</w:t>
      </w:r>
    </w:p>
    <w:p w14:paraId="792FB69D" w14:textId="77777777" w:rsidR="00DC3DD3" w:rsidRDefault="00D35654" w:rsidP="00DC3DD3">
      <w:pPr>
        <w:pStyle w:val="ListParagraph"/>
        <w:numPr>
          <w:ilvl w:val="1"/>
          <w:numId w:val="1"/>
        </w:numPr>
      </w:pPr>
      <w:r>
        <w:t>Right upper lobe infiltrate</w:t>
      </w:r>
    </w:p>
    <w:p w14:paraId="367D9B20" w14:textId="77777777" w:rsidR="00D35654" w:rsidRDefault="00D35654" w:rsidP="00D35654">
      <w:pPr>
        <w:pStyle w:val="ListParagraph"/>
        <w:numPr>
          <w:ilvl w:val="0"/>
          <w:numId w:val="1"/>
        </w:numPr>
      </w:pPr>
      <w:r>
        <w:t>DIAGNOSTIC WORK UP</w:t>
      </w:r>
    </w:p>
    <w:p w14:paraId="0BB4D84B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>Skin test</w:t>
      </w:r>
    </w:p>
    <w:p w14:paraId="33DA7B88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>Gram and acid fast stain of respiratory secretions</w:t>
      </w:r>
    </w:p>
    <w:p w14:paraId="5FC1D26B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 xml:space="preserve">Cultures of respiratory secretions </w:t>
      </w:r>
    </w:p>
    <w:p w14:paraId="29B22DB0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>Broth and agar-based mycobacterial cultures and DNA probe-based identification</w:t>
      </w:r>
    </w:p>
    <w:p w14:paraId="338F721C" w14:textId="77777777" w:rsidR="00DC3DD3" w:rsidRDefault="00D35654" w:rsidP="00DC3DD3">
      <w:pPr>
        <w:pStyle w:val="ListParagraph"/>
        <w:numPr>
          <w:ilvl w:val="1"/>
          <w:numId w:val="1"/>
        </w:numPr>
      </w:pPr>
      <w:r>
        <w:t>In failed Gram and acid fast stain, fungal serology and fungal cultures</w:t>
      </w:r>
    </w:p>
    <w:p w14:paraId="2119665A" w14:textId="77777777" w:rsidR="00D35654" w:rsidRDefault="00D35654" w:rsidP="00D35654">
      <w:pPr>
        <w:pStyle w:val="ListParagraph"/>
        <w:numPr>
          <w:ilvl w:val="0"/>
          <w:numId w:val="1"/>
        </w:numPr>
      </w:pPr>
      <w:r>
        <w:t>DIFFERENTIAL DIAGNOSIS</w:t>
      </w:r>
    </w:p>
    <w:p w14:paraId="66785DCA" w14:textId="77777777" w:rsidR="00D35654" w:rsidRDefault="00D35654" w:rsidP="00D35654">
      <w:pPr>
        <w:pStyle w:val="ListParagraph"/>
        <w:numPr>
          <w:ilvl w:val="1"/>
          <w:numId w:val="1"/>
        </w:numPr>
      </w:pPr>
      <w:proofErr w:type="spellStart"/>
      <w:r>
        <w:t>Actinomyces</w:t>
      </w:r>
      <w:proofErr w:type="spellEnd"/>
      <w:r>
        <w:t xml:space="preserve">, Anaerobes (aspiration pneumonia), Endemic fungi (e.g. </w:t>
      </w:r>
      <w:proofErr w:type="spellStart"/>
      <w:r>
        <w:t>Histoplasma</w:t>
      </w:r>
      <w:proofErr w:type="spellEnd"/>
      <w:r>
        <w:t xml:space="preserve"> </w:t>
      </w:r>
      <w:proofErr w:type="spellStart"/>
      <w:r>
        <w:t>capsulatum</w:t>
      </w:r>
      <w:proofErr w:type="spellEnd"/>
      <w:r>
        <w:t xml:space="preserve">), Legionella </w:t>
      </w:r>
      <w:proofErr w:type="spellStart"/>
      <w:r>
        <w:t>penumophila</w:t>
      </w:r>
      <w:proofErr w:type="spellEnd"/>
      <w:r>
        <w:t xml:space="preserve">, Mycoplasma pneumonia, </w:t>
      </w:r>
      <w:proofErr w:type="spellStart"/>
      <w:r>
        <w:t>Nocardia</w:t>
      </w:r>
      <w:proofErr w:type="spellEnd"/>
      <w:r>
        <w:t xml:space="preserve"> sp</w:t>
      </w:r>
    </w:p>
    <w:p w14:paraId="32B2F915" w14:textId="77777777" w:rsidR="00DC3DD3" w:rsidRDefault="00D35654" w:rsidP="00DC3DD3">
      <w:pPr>
        <w:pStyle w:val="ListParagraph"/>
        <w:numPr>
          <w:ilvl w:val="1"/>
          <w:numId w:val="1"/>
        </w:numPr>
      </w:pPr>
      <w:r>
        <w:t>Immigrants from endemic country**</w:t>
      </w:r>
    </w:p>
    <w:p w14:paraId="170A6749" w14:textId="77777777" w:rsidR="00D35654" w:rsidRDefault="007246E5" w:rsidP="00D35654">
      <w:pPr>
        <w:pStyle w:val="ListParagraph"/>
        <w:numPr>
          <w:ilvl w:val="0"/>
          <w:numId w:val="1"/>
        </w:numPr>
      </w:pPr>
      <w:r>
        <w:t>M</w:t>
      </w:r>
      <w:r w:rsidR="00D35654">
        <w:t>ICROBIOLOGICAL PROPERTIES</w:t>
      </w:r>
    </w:p>
    <w:p w14:paraId="05290808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 xml:space="preserve">Acid fast bacteria (reactive to </w:t>
      </w:r>
      <w:proofErr w:type="spellStart"/>
      <w:r>
        <w:t>auramine</w:t>
      </w:r>
      <w:proofErr w:type="spellEnd"/>
      <w:r>
        <w:t xml:space="preserve"> O fluorescence and </w:t>
      </w:r>
      <w:proofErr w:type="spellStart"/>
      <w:r>
        <w:t>Kinyoun</w:t>
      </w:r>
      <w:proofErr w:type="spellEnd"/>
      <w:r>
        <w:t xml:space="preserve"> acid fast stains)</w:t>
      </w:r>
    </w:p>
    <w:p w14:paraId="1225CA57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>Cell wall contains 60% lipids in long-chain fatty acids (=</w:t>
      </w:r>
      <w:proofErr w:type="spellStart"/>
      <w:r>
        <w:t>mycolic</w:t>
      </w:r>
      <w:proofErr w:type="spellEnd"/>
      <w:r>
        <w:t xml:space="preserve"> acids)</w:t>
      </w:r>
    </w:p>
    <w:p w14:paraId="4ED01E42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>Grows slowly on selective (e.g. Lowenstein-Jensen agar) media</w:t>
      </w:r>
    </w:p>
    <w:p w14:paraId="21259BBA" w14:textId="77777777" w:rsidR="00D35654" w:rsidRPr="00DC3DD3" w:rsidRDefault="00D35654" w:rsidP="00D35654">
      <w:pPr>
        <w:pStyle w:val="ListParagraph"/>
        <w:numPr>
          <w:ilvl w:val="1"/>
          <w:numId w:val="1"/>
        </w:numPr>
        <w:rPr>
          <w:b/>
        </w:rPr>
      </w:pPr>
      <w:r>
        <w:t>**</w:t>
      </w:r>
      <w:r w:rsidRPr="00DC3DD3">
        <w:rPr>
          <w:b/>
        </w:rPr>
        <w:t xml:space="preserve">Virulent strain grow in parallel and serpentine pattern due to presence of cord factor (6,6 </w:t>
      </w:r>
      <w:proofErr w:type="spellStart"/>
      <w:r w:rsidRPr="00DC3DD3">
        <w:rPr>
          <w:b/>
        </w:rPr>
        <w:t>trehalose-dimycolate</w:t>
      </w:r>
      <w:proofErr w:type="spellEnd"/>
      <w:r w:rsidRPr="00DC3DD3">
        <w:rPr>
          <w:b/>
        </w:rPr>
        <w:t>), a virulence factor</w:t>
      </w:r>
    </w:p>
    <w:p w14:paraId="3AD3E891" w14:textId="77777777" w:rsidR="00D35654" w:rsidRPr="00DC3DD3" w:rsidRDefault="00D35654" w:rsidP="00D35654">
      <w:pPr>
        <w:pStyle w:val="ListParagraph"/>
        <w:numPr>
          <w:ilvl w:val="1"/>
          <w:numId w:val="1"/>
        </w:numPr>
        <w:rPr>
          <w:b/>
        </w:rPr>
      </w:pPr>
      <w:r w:rsidRPr="00DC3DD3">
        <w:rPr>
          <w:b/>
        </w:rPr>
        <w:t>**Phenolic glycolipids (e.g. LAM) contribute to enhanced virulence</w:t>
      </w:r>
    </w:p>
    <w:p w14:paraId="6E8DCCC7" w14:textId="77777777" w:rsidR="00DC3DD3" w:rsidRDefault="00D35654" w:rsidP="00DC3DD3">
      <w:pPr>
        <w:pStyle w:val="ListParagraph"/>
        <w:numPr>
          <w:ilvl w:val="1"/>
          <w:numId w:val="1"/>
        </w:numPr>
      </w:pPr>
      <w:r>
        <w:t>Mycobacteria are resistant to acid and alkali and dehydration</w:t>
      </w:r>
    </w:p>
    <w:p w14:paraId="50F5E0C8" w14:textId="77777777" w:rsidR="00D35654" w:rsidRDefault="00D35654" w:rsidP="00D35654">
      <w:pPr>
        <w:pStyle w:val="ListParagraph"/>
        <w:numPr>
          <w:ilvl w:val="0"/>
          <w:numId w:val="1"/>
        </w:numPr>
      </w:pPr>
      <w:r>
        <w:t>EPIDEMIOLOGY</w:t>
      </w:r>
    </w:p>
    <w:p w14:paraId="03BD477B" w14:textId="77777777" w:rsidR="00D35654" w:rsidRDefault="00D35654" w:rsidP="00D35654">
      <w:pPr>
        <w:pStyle w:val="ListParagraph"/>
        <w:numPr>
          <w:ilvl w:val="1"/>
          <w:numId w:val="1"/>
        </w:numPr>
      </w:pPr>
      <w:r>
        <w:t xml:space="preserve">Exposure to airborne organisms from a symptomatic patient is the major mode of contagion (people with pulmonary </w:t>
      </w:r>
      <w:proofErr w:type="spellStart"/>
      <w:r>
        <w:t>tb</w:t>
      </w:r>
      <w:proofErr w:type="spellEnd"/>
      <w:r>
        <w:t xml:space="preserve"> produce respiratory aerosol)</w:t>
      </w:r>
    </w:p>
    <w:p w14:paraId="0F6BDF9A" w14:textId="77777777" w:rsidR="00D35654" w:rsidRDefault="00D35654" w:rsidP="00343717">
      <w:pPr>
        <w:pStyle w:val="ListParagraph"/>
        <w:numPr>
          <w:ilvl w:val="1"/>
          <w:numId w:val="2"/>
        </w:numPr>
      </w:pPr>
      <w:r>
        <w:t>Risk is highest among children less than 3 years old</w:t>
      </w:r>
      <w:r w:rsidR="00343717">
        <w:t xml:space="preserve">, lowest in later childhood, and high again among adolescents, young adults and very old and </w:t>
      </w:r>
      <w:proofErr w:type="spellStart"/>
      <w:r w:rsidR="00343717">
        <w:t>immunocompromised</w:t>
      </w:r>
      <w:proofErr w:type="spellEnd"/>
      <w:r w:rsidR="00343717">
        <w:t xml:space="preserve"> individuals. </w:t>
      </w:r>
    </w:p>
    <w:p w14:paraId="386DC6FA" w14:textId="77777777" w:rsidR="00DC3DD3" w:rsidRPr="007246E5" w:rsidRDefault="00343717" w:rsidP="00DC3DD3">
      <w:pPr>
        <w:pStyle w:val="ListParagraph"/>
        <w:numPr>
          <w:ilvl w:val="1"/>
          <w:numId w:val="2"/>
        </w:numPr>
        <w:rPr>
          <w:u w:val="single"/>
        </w:rPr>
      </w:pPr>
      <w:r>
        <w:t>**</w:t>
      </w:r>
      <w:r w:rsidRPr="00DC3DD3">
        <w:rPr>
          <w:u w:val="single"/>
        </w:rPr>
        <w:t xml:space="preserve">Risk is DIRECTLY related to DEGREE of exposure and not related to genetic and other host factors. </w:t>
      </w:r>
    </w:p>
    <w:p w14:paraId="667728DA" w14:textId="77777777" w:rsidR="00343717" w:rsidRDefault="00343717" w:rsidP="00343717">
      <w:pPr>
        <w:pStyle w:val="ListParagraph"/>
        <w:numPr>
          <w:ilvl w:val="0"/>
          <w:numId w:val="2"/>
        </w:numPr>
      </w:pPr>
      <w:r>
        <w:t>PATHOGENESIS</w:t>
      </w:r>
    </w:p>
    <w:p w14:paraId="046730B4" w14:textId="77777777" w:rsidR="00343717" w:rsidRDefault="00343717" w:rsidP="00343717">
      <w:pPr>
        <w:pStyle w:val="ListParagraph"/>
        <w:numPr>
          <w:ilvl w:val="1"/>
          <w:numId w:val="2"/>
        </w:numPr>
      </w:pPr>
      <w:r>
        <w:t>Major determinants of type and extent of disease = patients age, immune status, and the mycobacterial load</w:t>
      </w:r>
    </w:p>
    <w:p w14:paraId="05C42663" w14:textId="77777777" w:rsidR="00343717" w:rsidRDefault="00343717" w:rsidP="00343717">
      <w:pPr>
        <w:pStyle w:val="ListParagraph"/>
        <w:numPr>
          <w:ilvl w:val="1"/>
          <w:numId w:val="2"/>
        </w:numPr>
      </w:pPr>
      <w:r>
        <w:t>Obligate aerobes and therefore cause disease only in highly oxygenated tissues, such as upper lobe of lung</w:t>
      </w:r>
    </w:p>
    <w:p w14:paraId="510151E5" w14:textId="77777777" w:rsidR="00343717" w:rsidRDefault="00343717" w:rsidP="00343717">
      <w:pPr>
        <w:pStyle w:val="ListParagraph"/>
        <w:numPr>
          <w:ilvl w:val="1"/>
          <w:numId w:val="2"/>
        </w:numPr>
      </w:pPr>
      <w:r>
        <w:t xml:space="preserve">Facultative intracellular bacteria </w:t>
      </w:r>
      <w:r>
        <w:sym w:font="Wingdings" w:char="F0E0"/>
      </w:r>
      <w:r>
        <w:t xml:space="preserve"> Hide within macrophages. LAM is recognized by macrophage mannose receptor</w:t>
      </w:r>
      <w:r w:rsidR="006510D5">
        <w:t xml:space="preserve">. M. </w:t>
      </w:r>
      <w:proofErr w:type="spellStart"/>
      <w:r w:rsidR="006510D5">
        <w:t>tb</w:t>
      </w:r>
      <w:proofErr w:type="spellEnd"/>
      <w:r w:rsidR="006510D5">
        <w:t xml:space="preserve"> also expresses a C4 </w:t>
      </w:r>
      <w:proofErr w:type="spellStart"/>
      <w:r w:rsidR="006510D5">
        <w:t>convertase</w:t>
      </w:r>
      <w:proofErr w:type="spellEnd"/>
      <w:r w:rsidR="006510D5">
        <w:t xml:space="preserve">, forming C3b on its surface which can then be bound by CR4 of macrophage, causing M. </w:t>
      </w:r>
      <w:proofErr w:type="spellStart"/>
      <w:r w:rsidR="006510D5">
        <w:t>tb</w:t>
      </w:r>
      <w:proofErr w:type="spellEnd"/>
      <w:r w:rsidR="006510D5">
        <w:t xml:space="preserve"> to be taken up by macrophage. </w:t>
      </w:r>
    </w:p>
    <w:p w14:paraId="3AAFA54B" w14:textId="77777777" w:rsidR="006510D5" w:rsidRDefault="006510D5" w:rsidP="00343717">
      <w:pPr>
        <w:pStyle w:val="ListParagraph"/>
        <w:numPr>
          <w:ilvl w:val="1"/>
          <w:numId w:val="2"/>
        </w:numPr>
      </w:pPr>
      <w:proofErr w:type="spellStart"/>
      <w:r>
        <w:lastRenderedPageBreak/>
        <w:t>M.tb</w:t>
      </w:r>
      <w:proofErr w:type="spellEnd"/>
      <w:r>
        <w:t xml:space="preserve"> evades phagocy</w:t>
      </w:r>
      <w:r w:rsidR="00DC3DD3">
        <w:t xml:space="preserve">tic killing by inhibiting </w:t>
      </w:r>
      <w:proofErr w:type="spellStart"/>
      <w:r w:rsidR="00DC3DD3">
        <w:t>phagol</w:t>
      </w:r>
      <w:r>
        <w:t>ysosome</w:t>
      </w:r>
      <w:proofErr w:type="spellEnd"/>
      <w:r>
        <w:t xml:space="preserve"> fusion. This is mediated by a tr</w:t>
      </w:r>
      <w:r w:rsidR="00DC3DD3">
        <w:t>y</w:t>
      </w:r>
      <w:r>
        <w:t>ptophan-aspartate containing coat protein on bacteria</w:t>
      </w:r>
    </w:p>
    <w:p w14:paraId="7F6505AF" w14:textId="77777777" w:rsidR="006510D5" w:rsidRDefault="006510D5" w:rsidP="00343717">
      <w:pPr>
        <w:pStyle w:val="ListParagraph"/>
        <w:numPr>
          <w:ilvl w:val="1"/>
          <w:numId w:val="2"/>
        </w:numPr>
      </w:pPr>
      <w:r>
        <w:t>Mycobacterial glycolipid antigens on MHC II do NOT produce a RAPID immune response</w:t>
      </w:r>
    </w:p>
    <w:p w14:paraId="619809CD" w14:textId="77777777" w:rsidR="006510D5" w:rsidRDefault="006510D5" w:rsidP="00343717">
      <w:pPr>
        <w:pStyle w:val="ListParagraph"/>
        <w:numPr>
          <w:ilvl w:val="1"/>
          <w:numId w:val="2"/>
        </w:numPr>
      </w:pPr>
      <w:r>
        <w:t xml:space="preserve">Bacteria proliferate in </w:t>
      </w:r>
      <w:proofErr w:type="spellStart"/>
      <w:r>
        <w:t>phagosome</w:t>
      </w:r>
      <w:proofErr w:type="spellEnd"/>
      <w:r>
        <w:t>, eventually bursting macrophages and infecting neighbor macrophages</w:t>
      </w:r>
    </w:p>
    <w:p w14:paraId="20BCE7CC" w14:textId="77777777" w:rsidR="006510D5" w:rsidRPr="00DC3DD3" w:rsidRDefault="006510D5" w:rsidP="00343717">
      <w:pPr>
        <w:pStyle w:val="ListParagraph"/>
        <w:numPr>
          <w:ilvl w:val="1"/>
          <w:numId w:val="2"/>
        </w:numPr>
        <w:rPr>
          <w:b/>
        </w:rPr>
      </w:pPr>
      <w:r w:rsidRPr="00DC3DD3">
        <w:rPr>
          <w:b/>
        </w:rPr>
        <w:t>Cord factor</w:t>
      </w:r>
      <w:r>
        <w:t xml:space="preserve"> is toxic to PMNs and also stimulates formation of granulomas. </w:t>
      </w:r>
      <w:r w:rsidRPr="00DC3DD3">
        <w:rPr>
          <w:b/>
        </w:rPr>
        <w:t>TB granulomas may be visualized by chest XR as lobar (</w:t>
      </w:r>
      <w:proofErr w:type="spellStart"/>
      <w:r w:rsidRPr="00DC3DD3">
        <w:rPr>
          <w:b/>
        </w:rPr>
        <w:t>Ghon</w:t>
      </w:r>
      <w:proofErr w:type="spellEnd"/>
      <w:r w:rsidRPr="00DC3DD3">
        <w:rPr>
          <w:b/>
        </w:rPr>
        <w:t xml:space="preserve"> focus) or </w:t>
      </w:r>
      <w:proofErr w:type="spellStart"/>
      <w:r w:rsidRPr="00DC3DD3">
        <w:rPr>
          <w:b/>
        </w:rPr>
        <w:t>perihilar</w:t>
      </w:r>
      <w:proofErr w:type="spellEnd"/>
      <w:r w:rsidRPr="00DC3DD3">
        <w:rPr>
          <w:b/>
        </w:rPr>
        <w:t xml:space="preserve"> lymph node involvement, reflecting primary infection. </w:t>
      </w:r>
    </w:p>
    <w:p w14:paraId="0A154D49" w14:textId="77777777" w:rsidR="006510D5" w:rsidRDefault="006510D5" w:rsidP="00343717">
      <w:pPr>
        <w:pStyle w:val="ListParagraph"/>
        <w:numPr>
          <w:ilvl w:val="1"/>
          <w:numId w:val="2"/>
        </w:numPr>
      </w:pPr>
      <w:r>
        <w:t xml:space="preserve">Elicits CD4+ and CD8+ T cells. TH1 cells release </w:t>
      </w:r>
      <w:r w:rsidRPr="00DC3DD3">
        <w:rPr>
          <w:b/>
        </w:rPr>
        <w:t>IFN gamma</w:t>
      </w:r>
      <w:r>
        <w:t xml:space="preserve"> to stimulate macrophage activation.  TH1 cells also release IL-12, TNF and </w:t>
      </w:r>
      <w:r w:rsidRPr="00DC3DD3">
        <w:rPr>
          <w:b/>
        </w:rPr>
        <w:t>NO</w:t>
      </w:r>
      <w:r>
        <w:t xml:space="preserve"> (NO is the key molecule for M </w:t>
      </w:r>
      <w:proofErr w:type="spellStart"/>
      <w:r>
        <w:t>tb</w:t>
      </w:r>
      <w:proofErr w:type="spellEnd"/>
      <w:r>
        <w:t xml:space="preserve"> killing)</w:t>
      </w:r>
    </w:p>
    <w:p w14:paraId="6E42AAA1" w14:textId="77777777" w:rsidR="006510D5" w:rsidRDefault="006510D5" w:rsidP="00343717">
      <w:pPr>
        <w:pStyle w:val="ListParagraph"/>
        <w:numPr>
          <w:ilvl w:val="1"/>
          <w:numId w:val="2"/>
        </w:numPr>
      </w:pPr>
      <w:r>
        <w:t xml:space="preserve">90% of </w:t>
      </w:r>
      <w:proofErr w:type="spellStart"/>
      <w:r>
        <w:t>tb</w:t>
      </w:r>
      <w:proofErr w:type="spellEnd"/>
      <w:r>
        <w:t xml:space="preserve"> infections are latent (bacterial replication within granulomas balanced with killing)</w:t>
      </w:r>
    </w:p>
    <w:p w14:paraId="0E98DCC6" w14:textId="77777777" w:rsidR="00DC3DD3" w:rsidRDefault="006510D5" w:rsidP="00DC3DD3">
      <w:pPr>
        <w:pStyle w:val="ListParagraph"/>
        <w:numPr>
          <w:ilvl w:val="1"/>
          <w:numId w:val="2"/>
        </w:numPr>
      </w:pPr>
      <w:r w:rsidRPr="00DC3DD3">
        <w:rPr>
          <w:b/>
        </w:rPr>
        <w:t>Reactivation (aka post-primary infectio</w:t>
      </w:r>
      <w:r>
        <w:t xml:space="preserve">n) can occur from age, illness, etc. Material within granuloma becomes </w:t>
      </w:r>
      <w:proofErr w:type="spellStart"/>
      <w:r>
        <w:t>caseous</w:t>
      </w:r>
      <w:proofErr w:type="spellEnd"/>
      <w:r>
        <w:t xml:space="preserve">. Central area of granuloma undergoes necrosis and may break into bronchi, discharging M. </w:t>
      </w:r>
      <w:proofErr w:type="spellStart"/>
      <w:r>
        <w:t>tb</w:t>
      </w:r>
      <w:proofErr w:type="spellEnd"/>
      <w:r>
        <w:t xml:space="preserve"> into air via cough. Phagocytes also cause considerable tissue damage. </w:t>
      </w:r>
    </w:p>
    <w:p w14:paraId="195A5C31" w14:textId="77777777" w:rsidR="006510D5" w:rsidRDefault="006510D5" w:rsidP="006510D5">
      <w:pPr>
        <w:pStyle w:val="ListParagraph"/>
        <w:numPr>
          <w:ilvl w:val="0"/>
          <w:numId w:val="2"/>
        </w:numPr>
      </w:pPr>
      <w:r>
        <w:t>TREATMENT</w:t>
      </w:r>
    </w:p>
    <w:p w14:paraId="3A8F897C" w14:textId="77777777" w:rsidR="00DC3DD3" w:rsidRDefault="00DC3DD3" w:rsidP="006510D5">
      <w:pPr>
        <w:pStyle w:val="ListParagraph"/>
        <w:numPr>
          <w:ilvl w:val="1"/>
          <w:numId w:val="2"/>
        </w:numPr>
      </w:pPr>
      <w:r>
        <w:t>Involves multiple drugs and long term treatment</w:t>
      </w:r>
    </w:p>
    <w:p w14:paraId="2F9A310A" w14:textId="77777777" w:rsidR="006510D5" w:rsidRDefault="006510D5" w:rsidP="006510D5">
      <w:pPr>
        <w:pStyle w:val="ListParagraph"/>
        <w:numPr>
          <w:ilvl w:val="1"/>
          <w:numId w:val="2"/>
        </w:numPr>
      </w:pPr>
      <w:r>
        <w:t xml:space="preserve">RIPE: Rifampin, Isoniazid, Pyrazinamide, and </w:t>
      </w:r>
      <w:proofErr w:type="spellStart"/>
      <w:r>
        <w:t>Ethambutol</w:t>
      </w:r>
      <w:proofErr w:type="spellEnd"/>
    </w:p>
    <w:p w14:paraId="4958220D" w14:textId="77777777" w:rsidR="00DC3DD3" w:rsidRDefault="00DC3DD3" w:rsidP="006510D5">
      <w:pPr>
        <w:pStyle w:val="ListParagraph"/>
        <w:numPr>
          <w:ilvl w:val="1"/>
          <w:numId w:val="2"/>
        </w:numPr>
      </w:pPr>
      <w:r>
        <w:t>Use drug susceptibility test to determine drug usage</w:t>
      </w:r>
    </w:p>
    <w:p w14:paraId="551F2942" w14:textId="77777777" w:rsidR="00DC3DD3" w:rsidRDefault="00DC3DD3" w:rsidP="00DC3DD3">
      <w:pPr>
        <w:pStyle w:val="ListParagraph"/>
        <w:numPr>
          <w:ilvl w:val="2"/>
          <w:numId w:val="2"/>
        </w:numPr>
      </w:pPr>
      <w:r>
        <w:t>For susceptible isolate, RIF and INH usually used</w:t>
      </w:r>
    </w:p>
    <w:p w14:paraId="277EAF55" w14:textId="77777777" w:rsidR="00BA4A73" w:rsidRDefault="00DC3DD3" w:rsidP="00DC3DD3">
      <w:pPr>
        <w:pStyle w:val="ListParagraph"/>
        <w:numPr>
          <w:ilvl w:val="2"/>
          <w:numId w:val="2"/>
        </w:numPr>
      </w:pPr>
      <w:r>
        <w:t xml:space="preserve">For unsusceptible isolates (multidrug </w:t>
      </w:r>
      <w:proofErr w:type="spellStart"/>
      <w:r>
        <w:t>restistant</w:t>
      </w:r>
      <w:proofErr w:type="spellEnd"/>
      <w:r>
        <w:t xml:space="preserve"> Tb meaning resistant to INH and RIF at least) usually involves 4-5 drugs: ciprofloxacin, </w:t>
      </w:r>
      <w:proofErr w:type="spellStart"/>
      <w:r>
        <w:t>amikacin</w:t>
      </w:r>
      <w:proofErr w:type="spellEnd"/>
      <w:r>
        <w:t xml:space="preserve">, </w:t>
      </w:r>
      <w:proofErr w:type="spellStart"/>
      <w:r>
        <w:t>ethionamide</w:t>
      </w:r>
      <w:proofErr w:type="spellEnd"/>
      <w:r>
        <w:t xml:space="preserve">, and </w:t>
      </w:r>
      <w:proofErr w:type="spellStart"/>
      <w:r>
        <w:t>cycloserine</w:t>
      </w:r>
      <w:proofErr w:type="spellEnd"/>
      <w:r>
        <w:t xml:space="preserve"> </w:t>
      </w:r>
    </w:p>
    <w:p w14:paraId="42190800" w14:textId="77777777" w:rsidR="00DC3DD3" w:rsidRDefault="00DC3DD3" w:rsidP="00DC3DD3">
      <w:pPr>
        <w:pStyle w:val="ListParagraph"/>
        <w:numPr>
          <w:ilvl w:val="1"/>
          <w:numId w:val="2"/>
        </w:numPr>
      </w:pPr>
      <w:r>
        <w:t>HIV patients infected with non-</w:t>
      </w:r>
      <w:proofErr w:type="spellStart"/>
      <w:r>
        <w:t>tb</w:t>
      </w:r>
      <w:proofErr w:type="spellEnd"/>
      <w:r>
        <w:t xml:space="preserve"> mycobacteria receive a macrolide, </w:t>
      </w:r>
      <w:proofErr w:type="spellStart"/>
      <w:r>
        <w:t>rifabutin</w:t>
      </w:r>
      <w:proofErr w:type="spellEnd"/>
      <w:r>
        <w:t>, and other drugs</w:t>
      </w:r>
    </w:p>
    <w:p w14:paraId="5554C3B6" w14:textId="77777777" w:rsidR="00DC3DD3" w:rsidRDefault="00DC3DD3" w:rsidP="00DC3DD3">
      <w:pPr>
        <w:pStyle w:val="ListParagraph"/>
        <w:numPr>
          <w:ilvl w:val="0"/>
          <w:numId w:val="2"/>
        </w:numPr>
      </w:pPr>
      <w:r>
        <w:t>PREVENTION</w:t>
      </w:r>
    </w:p>
    <w:p w14:paraId="2FE5038C" w14:textId="77777777" w:rsidR="00DC3DD3" w:rsidRDefault="00DC3DD3" w:rsidP="00DC3DD3">
      <w:pPr>
        <w:pStyle w:val="ListParagraph"/>
        <w:numPr>
          <w:ilvl w:val="1"/>
          <w:numId w:val="2"/>
        </w:numPr>
      </w:pPr>
      <w:r>
        <w:t xml:space="preserve">In super-endemic areas, given </w:t>
      </w:r>
      <w:r w:rsidRPr="00DC3DD3">
        <w:rPr>
          <w:b/>
        </w:rPr>
        <w:t>BCG vaccine</w:t>
      </w:r>
      <w:r>
        <w:t>. Vaccine can protect against meningitis</w:t>
      </w:r>
    </w:p>
    <w:p w14:paraId="7FC5D0F2" w14:textId="77777777" w:rsidR="00DC3DD3" w:rsidRDefault="00DC3DD3" w:rsidP="00DC3DD3">
      <w:pPr>
        <w:pStyle w:val="ListParagraph"/>
        <w:numPr>
          <w:ilvl w:val="1"/>
          <w:numId w:val="2"/>
        </w:numPr>
      </w:pPr>
      <w:r w:rsidRPr="00DC3DD3">
        <w:rPr>
          <w:b/>
        </w:rPr>
        <w:t>INH therapy</w:t>
      </w:r>
      <w:r>
        <w:t xml:space="preserve"> in </w:t>
      </w:r>
      <w:r w:rsidRPr="00DC3DD3">
        <w:rPr>
          <w:b/>
        </w:rPr>
        <w:t>exposed individuals</w:t>
      </w:r>
      <w:r>
        <w:t xml:space="preserve"> (with positive PPD) younger than 35 (</w:t>
      </w:r>
      <w:proofErr w:type="spellStart"/>
      <w:r>
        <w:t>tho</w:t>
      </w:r>
      <w:proofErr w:type="spellEnd"/>
      <w:r>
        <w:t xml:space="preserve"> children cannot be placed on INH)</w:t>
      </w:r>
    </w:p>
    <w:sectPr w:rsidR="00DC3DD3" w:rsidSect="007246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C96"/>
    <w:multiLevelType w:val="hybridMultilevel"/>
    <w:tmpl w:val="A030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B124A"/>
    <w:multiLevelType w:val="hybridMultilevel"/>
    <w:tmpl w:val="A030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4A73"/>
    <w:rsid w:val="00267FEE"/>
    <w:rsid w:val="00343717"/>
    <w:rsid w:val="006510D5"/>
    <w:rsid w:val="007246E5"/>
    <w:rsid w:val="00BA4A73"/>
    <w:rsid w:val="00D35654"/>
    <w:rsid w:val="00DC3DD3"/>
    <w:rsid w:val="00EA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991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641</Words>
  <Characters>3658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University of Toledo</dc:creator>
  <cp:keywords/>
  <dc:description/>
  <cp:lastModifiedBy>Elisa Furay</cp:lastModifiedBy>
  <cp:revision>2</cp:revision>
  <cp:lastPrinted>2012-11-05T00:42:00Z</cp:lastPrinted>
  <dcterms:created xsi:type="dcterms:W3CDTF">2012-10-12T18:23:00Z</dcterms:created>
  <dcterms:modified xsi:type="dcterms:W3CDTF">2012-11-05T00:42:00Z</dcterms:modified>
</cp:coreProperties>
</file>